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D3" w:rsidRDefault="005D404C" w:rsidP="006809D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2676525" cy="1152525"/>
            <wp:effectExtent l="19050" t="0" r="952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9D3" w:rsidRPr="00F150EC" w:rsidRDefault="006809D3" w:rsidP="006809D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sz w:val="32"/>
          <w:szCs w:val="32"/>
        </w:rPr>
      </w:pPr>
      <w:r w:rsidRPr="00F150EC">
        <w:rPr>
          <w:rFonts w:asciiTheme="majorHAnsi" w:hAnsiTheme="majorHAnsi" w:cs="Tahoma"/>
          <w:sz w:val="32"/>
          <w:szCs w:val="32"/>
        </w:rPr>
        <w:t>Invitation à la prochaine réunion publique de l’OEE en concertation avec le Collectif Migrants Outre-mer (MOM)</w:t>
      </w:r>
    </w:p>
    <w:p w:rsidR="006809D3" w:rsidRPr="00F150EC" w:rsidRDefault="006809D3" w:rsidP="006809D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-Bold"/>
          <w:b/>
          <w:bCs/>
          <w:sz w:val="32"/>
          <w:szCs w:val="32"/>
        </w:rPr>
      </w:pPr>
    </w:p>
    <w:p w:rsidR="006809D3" w:rsidRPr="00F150EC" w:rsidRDefault="006809D3" w:rsidP="006809D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-Bold"/>
          <w:b/>
          <w:bCs/>
          <w:sz w:val="28"/>
          <w:szCs w:val="28"/>
        </w:rPr>
      </w:pPr>
      <w:r w:rsidRPr="00F150EC">
        <w:rPr>
          <w:rFonts w:asciiTheme="majorHAnsi" w:hAnsiTheme="majorHAnsi" w:cs="Tahoma-Bold"/>
          <w:b/>
          <w:bCs/>
          <w:sz w:val="28"/>
          <w:szCs w:val="28"/>
        </w:rPr>
        <w:t>Lundi 2 Décembre 2019 à 19h</w:t>
      </w:r>
    </w:p>
    <w:p w:rsidR="006809D3" w:rsidRPr="00F150EC" w:rsidRDefault="006809D3" w:rsidP="006809D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-Bold"/>
          <w:b/>
          <w:bCs/>
          <w:sz w:val="28"/>
          <w:szCs w:val="28"/>
        </w:rPr>
      </w:pPr>
      <w:r w:rsidRPr="00F150EC">
        <w:rPr>
          <w:rFonts w:asciiTheme="majorHAnsi" w:hAnsiTheme="majorHAnsi" w:cs="Tahoma-Bold"/>
          <w:b/>
          <w:bCs/>
          <w:sz w:val="28"/>
          <w:szCs w:val="28"/>
        </w:rPr>
        <w:t>À la Ligue des Droits de l’Homme</w:t>
      </w:r>
    </w:p>
    <w:p w:rsidR="006809D3" w:rsidRPr="00F150EC" w:rsidRDefault="006809D3" w:rsidP="00B7106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sz w:val="24"/>
          <w:szCs w:val="24"/>
        </w:rPr>
      </w:pPr>
      <w:r w:rsidRPr="00F150EC">
        <w:rPr>
          <w:rFonts w:asciiTheme="majorHAnsi" w:hAnsiTheme="majorHAnsi" w:cs="Tahoma"/>
          <w:sz w:val="24"/>
          <w:szCs w:val="24"/>
        </w:rPr>
        <w:t>138 rue Marcadet – Paris – 18</w:t>
      </w:r>
      <w:r w:rsidRPr="00F150EC">
        <w:rPr>
          <w:rFonts w:asciiTheme="majorHAnsi" w:hAnsiTheme="majorHAnsi" w:cs="Tahoma"/>
          <w:sz w:val="24"/>
          <w:szCs w:val="24"/>
          <w:vertAlign w:val="superscript"/>
        </w:rPr>
        <w:t>ème</w:t>
      </w:r>
      <w:r w:rsidR="00B76A07" w:rsidRPr="00F150EC">
        <w:rPr>
          <w:rFonts w:asciiTheme="majorHAnsi" w:hAnsiTheme="majorHAnsi" w:cs="Tahoma"/>
          <w:sz w:val="24"/>
          <w:szCs w:val="24"/>
        </w:rPr>
        <w:t xml:space="preserve"> </w:t>
      </w:r>
      <w:r w:rsidRPr="00F150EC">
        <w:rPr>
          <w:rFonts w:asciiTheme="majorHAnsi" w:hAnsiTheme="majorHAnsi" w:cs="Tahoma"/>
          <w:sz w:val="24"/>
          <w:szCs w:val="24"/>
        </w:rPr>
        <w:t>Métro Lamarck Caulaincourt</w:t>
      </w:r>
    </w:p>
    <w:p w:rsidR="00B71060" w:rsidRPr="00F150EC" w:rsidRDefault="00B71060" w:rsidP="00B7106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sz w:val="28"/>
          <w:szCs w:val="28"/>
        </w:rPr>
      </w:pPr>
    </w:p>
    <w:p w:rsidR="006809D3" w:rsidRPr="00F150EC" w:rsidRDefault="006809D3" w:rsidP="003F783C">
      <w:pPr>
        <w:jc w:val="center"/>
        <w:rPr>
          <w:rFonts w:asciiTheme="majorHAnsi" w:hAnsiTheme="majorHAnsi" w:cs="Tahoma"/>
          <w:b/>
          <w:sz w:val="28"/>
          <w:szCs w:val="28"/>
        </w:rPr>
      </w:pPr>
      <w:r w:rsidRPr="00F150EC">
        <w:rPr>
          <w:rFonts w:asciiTheme="majorHAnsi" w:hAnsiTheme="majorHAnsi" w:cs="Tahoma"/>
          <w:b/>
          <w:sz w:val="28"/>
          <w:szCs w:val="28"/>
        </w:rPr>
        <w:t>Rétention et détention des personnes étrangères en Outre Mer</w:t>
      </w:r>
    </w:p>
    <w:p w:rsidR="006809D3" w:rsidRPr="00F150EC" w:rsidRDefault="006809D3" w:rsidP="00EC7E6D">
      <w:pPr>
        <w:spacing w:after="0" w:line="240" w:lineRule="auto"/>
        <w:jc w:val="both"/>
        <w:rPr>
          <w:rFonts w:asciiTheme="majorHAnsi" w:hAnsiTheme="majorHAnsi"/>
        </w:rPr>
      </w:pPr>
      <w:r w:rsidRPr="00F150EC">
        <w:rPr>
          <w:rFonts w:asciiTheme="majorHAnsi" w:hAnsiTheme="majorHAnsi"/>
        </w:rPr>
        <w:t>Depuis longtemps, nos organisations dénoncent l’infra-droit qui caractérise le traitement des personnes étrangères dans les Outre-mer</w:t>
      </w:r>
      <w:r w:rsidR="002B14D6" w:rsidRPr="00F150EC">
        <w:rPr>
          <w:rFonts w:asciiTheme="majorHAnsi" w:hAnsiTheme="majorHAnsi"/>
        </w:rPr>
        <w:t xml:space="preserve"> </w:t>
      </w:r>
      <w:r w:rsidRPr="00F150EC">
        <w:rPr>
          <w:rFonts w:asciiTheme="majorHAnsi" w:hAnsiTheme="majorHAnsi"/>
        </w:rPr>
        <w:t xml:space="preserve">: droits sociaux au rabais, obstacles à l’accès à la nationalité, à la délivrance de titres de séjour ou à la circulation, expulsions massives et expéditives… </w:t>
      </w:r>
    </w:p>
    <w:p w:rsidR="006809D3" w:rsidRPr="00F150EC" w:rsidRDefault="006809D3" w:rsidP="00EC7E6D">
      <w:pPr>
        <w:spacing w:after="0" w:line="240" w:lineRule="auto"/>
        <w:jc w:val="both"/>
        <w:rPr>
          <w:rFonts w:asciiTheme="majorHAnsi" w:hAnsiTheme="majorHAnsi"/>
        </w:rPr>
      </w:pPr>
    </w:p>
    <w:p w:rsidR="006809D3" w:rsidRPr="00F150EC" w:rsidRDefault="006809D3" w:rsidP="00EC7E6D">
      <w:pPr>
        <w:spacing w:after="0" w:line="240" w:lineRule="auto"/>
        <w:jc w:val="both"/>
        <w:rPr>
          <w:rFonts w:asciiTheme="majorHAnsi" w:hAnsiTheme="majorHAnsi"/>
        </w:rPr>
      </w:pPr>
      <w:r w:rsidRPr="00F150EC">
        <w:rPr>
          <w:rFonts w:asciiTheme="majorHAnsi" w:hAnsiTheme="majorHAnsi"/>
        </w:rPr>
        <w:t>Les « singularités » ultramarines, instaurées depuis 1990 par un régime d’exception en matière de droits des personnes étrangères, ont des effets particulièrement graves  dans le domaine de la rétention administrative</w:t>
      </w:r>
      <w:r w:rsidR="00AB2AB9" w:rsidRPr="00F150EC">
        <w:rPr>
          <w:rFonts w:asciiTheme="majorHAnsi" w:hAnsiTheme="majorHAnsi"/>
        </w:rPr>
        <w:t>,</w:t>
      </w:r>
      <w:r w:rsidRPr="00F150EC">
        <w:rPr>
          <w:rFonts w:asciiTheme="majorHAnsi" w:hAnsiTheme="majorHAnsi"/>
        </w:rPr>
        <w:t xml:space="preserve"> du placement en zone d’attente, </w:t>
      </w:r>
      <w:r w:rsidR="00AB2AB9" w:rsidRPr="00F150EC">
        <w:rPr>
          <w:rFonts w:asciiTheme="majorHAnsi" w:hAnsiTheme="majorHAnsi"/>
          <w:color w:val="000000" w:themeColor="text1"/>
        </w:rPr>
        <w:t xml:space="preserve">et des allers-retours entre </w:t>
      </w:r>
      <w:r w:rsidR="00AB42A7" w:rsidRPr="00F150EC">
        <w:rPr>
          <w:rFonts w:asciiTheme="majorHAnsi" w:hAnsiTheme="majorHAnsi"/>
          <w:color w:val="000000" w:themeColor="text1"/>
        </w:rPr>
        <w:t xml:space="preserve">prison </w:t>
      </w:r>
      <w:r w:rsidR="00AB2AB9" w:rsidRPr="00F150EC">
        <w:rPr>
          <w:rFonts w:asciiTheme="majorHAnsi" w:hAnsiTheme="majorHAnsi"/>
          <w:color w:val="000000" w:themeColor="text1"/>
        </w:rPr>
        <w:t>et rétention</w:t>
      </w:r>
      <w:r w:rsidR="00F339BB" w:rsidRPr="00F150EC">
        <w:rPr>
          <w:rFonts w:asciiTheme="majorHAnsi" w:hAnsiTheme="majorHAnsi"/>
          <w:color w:val="000000" w:themeColor="text1"/>
        </w:rPr>
        <w:t>,</w:t>
      </w:r>
      <w:r w:rsidR="00AB2AB9" w:rsidRPr="00F150EC">
        <w:rPr>
          <w:rFonts w:asciiTheme="majorHAnsi" w:hAnsiTheme="majorHAnsi"/>
          <w:color w:val="000000" w:themeColor="text1"/>
        </w:rPr>
        <w:t xml:space="preserve"> </w:t>
      </w:r>
      <w:r w:rsidRPr="00F150EC">
        <w:rPr>
          <w:rFonts w:asciiTheme="majorHAnsi" w:hAnsiTheme="majorHAnsi"/>
        </w:rPr>
        <w:t xml:space="preserve">où la mise à l’écart du droit commun cause des ravages dans l’application de droits fondamentaux : accès aux droits et dispositifs d’accompagnement quasi inexistants, expulsions </w:t>
      </w:r>
      <w:r w:rsidR="002B14D6" w:rsidRPr="00F150EC">
        <w:rPr>
          <w:rFonts w:asciiTheme="majorHAnsi" w:hAnsiTheme="majorHAnsi"/>
        </w:rPr>
        <w:t xml:space="preserve">souvent </w:t>
      </w:r>
      <w:bookmarkStart w:id="0" w:name="_GoBack"/>
      <w:bookmarkEnd w:id="0"/>
      <w:r w:rsidRPr="00F150EC">
        <w:rPr>
          <w:rFonts w:asciiTheme="majorHAnsi" w:hAnsiTheme="majorHAnsi"/>
        </w:rPr>
        <w:t>exécutées sans qu’un juge n’en ait vérifié la légalité, enfants massivement enfermés (1 221 mineurs détenus au seul CRA de Mayotte en 2018 !</w:t>
      </w:r>
      <w:r w:rsidR="000E4A09" w:rsidRPr="00F150EC">
        <w:rPr>
          <w:rFonts w:asciiTheme="majorHAnsi" w:hAnsiTheme="majorHAnsi"/>
        </w:rPr>
        <w:t>)</w:t>
      </w:r>
      <w:r w:rsidR="003B0819" w:rsidRPr="00F150EC">
        <w:rPr>
          <w:rFonts w:asciiTheme="majorHAnsi" w:hAnsiTheme="majorHAnsi"/>
        </w:rPr>
        <w:t>.</w:t>
      </w:r>
    </w:p>
    <w:p w:rsidR="006809D3" w:rsidRPr="00FF0EBD" w:rsidRDefault="006809D3" w:rsidP="00EC7E6D">
      <w:pPr>
        <w:spacing w:after="0" w:line="240" w:lineRule="auto"/>
        <w:jc w:val="both"/>
      </w:pPr>
      <w:r w:rsidRPr="00FF0EBD">
        <w:t xml:space="preserve"> </w:t>
      </w:r>
    </w:p>
    <w:p w:rsidR="006809D3" w:rsidRPr="00F150EC" w:rsidRDefault="006809D3" w:rsidP="00EC7E6D">
      <w:pPr>
        <w:spacing w:line="240" w:lineRule="auto"/>
        <w:jc w:val="both"/>
        <w:rPr>
          <w:rFonts w:asciiTheme="majorHAnsi" w:hAnsiTheme="majorHAnsi"/>
        </w:rPr>
      </w:pPr>
      <w:r w:rsidRPr="00F150EC">
        <w:rPr>
          <w:rFonts w:asciiTheme="majorHAnsi" w:hAnsiTheme="majorHAnsi"/>
        </w:rPr>
        <w:t xml:space="preserve">C’est pour en parler, informer et débattre de l’actualité, que des militant.es et professionnel.les des organisations autorisées – lorsqu’elles n’en sont pas arbitrairement empêchées –  à rencontrer les personnes retenues en centres de rétention et en zone d’attente seront présent.es  lors de la prochaine réunion publique organisée conjointement par l’OEE et MOM. Seront représentés : </w:t>
      </w:r>
    </w:p>
    <w:p w:rsidR="006809D3" w:rsidRPr="00F33D37" w:rsidRDefault="006809D3" w:rsidP="0089432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ajorHAnsi" w:hAnsiTheme="majorHAnsi"/>
          <w:b/>
        </w:rPr>
      </w:pPr>
      <w:r w:rsidRPr="00F33D37">
        <w:rPr>
          <w:rFonts w:asciiTheme="majorHAnsi" w:hAnsiTheme="majorHAnsi"/>
          <w:b/>
        </w:rPr>
        <w:t>L’ANAFE</w:t>
      </w:r>
    </w:p>
    <w:p w:rsidR="006809D3" w:rsidRPr="00F33D37" w:rsidRDefault="006809D3" w:rsidP="0089432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ajorHAnsi" w:hAnsiTheme="majorHAnsi"/>
          <w:b/>
        </w:rPr>
      </w:pPr>
      <w:r w:rsidRPr="00F33D37">
        <w:rPr>
          <w:rFonts w:asciiTheme="majorHAnsi" w:hAnsiTheme="majorHAnsi"/>
          <w:b/>
        </w:rPr>
        <w:t>La CIMADE avec Lucie Curet et Camille Couturier</w:t>
      </w:r>
    </w:p>
    <w:p w:rsidR="006809D3" w:rsidRPr="00F33D37" w:rsidRDefault="006809D3" w:rsidP="0089432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ajorHAnsi" w:hAnsiTheme="majorHAnsi"/>
          <w:b/>
        </w:rPr>
      </w:pPr>
      <w:r w:rsidRPr="00F33D37">
        <w:rPr>
          <w:rFonts w:asciiTheme="majorHAnsi" w:hAnsiTheme="majorHAnsi"/>
          <w:b/>
        </w:rPr>
        <w:t>L’OIP avec Julien Fischmeister</w:t>
      </w:r>
    </w:p>
    <w:p w:rsidR="006809D3" w:rsidRPr="00F33D37" w:rsidRDefault="006809D3" w:rsidP="0089432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ajorHAnsi" w:hAnsiTheme="majorHAnsi"/>
          <w:b/>
        </w:rPr>
      </w:pPr>
      <w:r w:rsidRPr="00F33D37">
        <w:rPr>
          <w:rFonts w:asciiTheme="majorHAnsi" w:hAnsiTheme="majorHAnsi"/>
          <w:b/>
        </w:rPr>
        <w:t>Le S</w:t>
      </w:r>
      <w:r w:rsidR="009E731C" w:rsidRPr="00F33D37">
        <w:rPr>
          <w:rFonts w:asciiTheme="majorHAnsi" w:hAnsiTheme="majorHAnsi"/>
          <w:b/>
        </w:rPr>
        <w:t xml:space="preserve">yndicat de la </w:t>
      </w:r>
      <w:r w:rsidRPr="00F33D37">
        <w:rPr>
          <w:rFonts w:asciiTheme="majorHAnsi" w:hAnsiTheme="majorHAnsi"/>
          <w:b/>
        </w:rPr>
        <w:t>M</w:t>
      </w:r>
      <w:r w:rsidR="009E731C" w:rsidRPr="00F33D37">
        <w:rPr>
          <w:rFonts w:asciiTheme="majorHAnsi" w:hAnsiTheme="majorHAnsi"/>
          <w:b/>
        </w:rPr>
        <w:t>agistrature</w:t>
      </w:r>
    </w:p>
    <w:p w:rsidR="009E731C" w:rsidRPr="00533142" w:rsidRDefault="006809D3" w:rsidP="0008593B">
      <w:pPr>
        <w:spacing w:after="0" w:line="240" w:lineRule="auto"/>
        <w:jc w:val="both"/>
        <w:rPr>
          <w:rFonts w:asciiTheme="majorHAnsi" w:hAnsiTheme="majorHAnsi"/>
          <w:b/>
          <w:i/>
          <w:sz w:val="18"/>
          <w:szCs w:val="18"/>
        </w:rPr>
      </w:pPr>
      <w:r w:rsidRPr="00533142">
        <w:rPr>
          <w:rFonts w:asciiTheme="majorHAnsi" w:hAnsiTheme="majorHAnsi"/>
          <w:b/>
          <w:sz w:val="18"/>
          <w:szCs w:val="18"/>
        </w:rPr>
        <w:t>Pour en savoir plus </w:t>
      </w:r>
      <w:r w:rsidRPr="00533142">
        <w:rPr>
          <w:rFonts w:asciiTheme="majorHAnsi" w:hAnsiTheme="majorHAnsi"/>
          <w:i/>
          <w:sz w:val="18"/>
          <w:szCs w:val="18"/>
        </w:rPr>
        <w:t xml:space="preserve">: </w:t>
      </w:r>
      <w:r w:rsidR="009E731C" w:rsidRPr="00533142">
        <w:rPr>
          <w:rFonts w:asciiTheme="majorHAnsi" w:hAnsiTheme="majorHAnsi"/>
          <w:b/>
          <w:sz w:val="18"/>
          <w:szCs w:val="18"/>
        </w:rPr>
        <w:t xml:space="preserve">Publication MOM-OEE : </w:t>
      </w:r>
      <w:r w:rsidR="009E731C" w:rsidRPr="00533142">
        <w:rPr>
          <w:rFonts w:asciiTheme="majorHAnsi" w:hAnsiTheme="majorHAnsi"/>
          <w:b/>
          <w:i/>
          <w:sz w:val="18"/>
          <w:szCs w:val="18"/>
        </w:rPr>
        <w:t xml:space="preserve">Etrangers en </w:t>
      </w:r>
      <w:r w:rsidR="00114736" w:rsidRPr="00533142">
        <w:rPr>
          <w:rFonts w:asciiTheme="majorHAnsi" w:hAnsiTheme="majorHAnsi"/>
          <w:b/>
          <w:i/>
          <w:sz w:val="18"/>
          <w:szCs w:val="18"/>
        </w:rPr>
        <w:t>Outre-mer</w:t>
      </w:r>
      <w:r w:rsidR="009E731C" w:rsidRPr="00533142">
        <w:rPr>
          <w:rFonts w:asciiTheme="majorHAnsi" w:hAnsiTheme="majorHAnsi"/>
          <w:b/>
          <w:i/>
          <w:sz w:val="18"/>
          <w:szCs w:val="18"/>
        </w:rPr>
        <w:t> : un droit exceptionnel pour un enfermement ordinaire</w:t>
      </w:r>
      <w:r w:rsidR="009E731C" w:rsidRPr="00533142">
        <w:rPr>
          <w:rFonts w:asciiTheme="majorHAnsi" w:hAnsiTheme="majorHAnsi"/>
          <w:b/>
          <w:sz w:val="18"/>
          <w:szCs w:val="18"/>
        </w:rPr>
        <w:t>, 2012,http://observatoireenfermement.blogspot.com</w:t>
      </w:r>
    </w:p>
    <w:p w:rsidR="00025F1E" w:rsidRPr="00533142" w:rsidRDefault="00025F1E" w:rsidP="0008593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533142">
        <w:rPr>
          <w:rFonts w:asciiTheme="majorHAnsi" w:hAnsiTheme="majorHAnsi"/>
          <w:b/>
          <w:sz w:val="18"/>
          <w:szCs w:val="18"/>
        </w:rPr>
        <w:t>A propos de la rétention</w:t>
      </w:r>
      <w:r w:rsidRPr="00533142">
        <w:rPr>
          <w:rFonts w:asciiTheme="majorHAnsi" w:hAnsiTheme="majorHAnsi"/>
          <w:sz w:val="18"/>
          <w:szCs w:val="18"/>
        </w:rPr>
        <w:t> : les rapports, communiqués, pétitions, journaux, de la Cimade</w:t>
      </w:r>
    </w:p>
    <w:p w:rsidR="002464CF" w:rsidRPr="00533142" w:rsidRDefault="00FF0EBD" w:rsidP="0008593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533142">
        <w:rPr>
          <w:rFonts w:asciiTheme="majorHAnsi" w:hAnsiTheme="majorHAnsi"/>
          <w:b/>
          <w:sz w:val="18"/>
          <w:szCs w:val="18"/>
        </w:rPr>
        <w:t>A propos des zones d’attentes</w:t>
      </w:r>
      <w:r w:rsidRPr="00533142">
        <w:rPr>
          <w:rFonts w:asciiTheme="majorHAnsi" w:hAnsiTheme="majorHAnsi"/>
          <w:sz w:val="18"/>
          <w:szCs w:val="18"/>
        </w:rPr>
        <w:t xml:space="preserve"> : </w:t>
      </w:r>
    </w:p>
    <w:p w:rsidR="00FF0EBD" w:rsidRPr="00533142" w:rsidRDefault="00FF0EBD" w:rsidP="0008593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533142">
        <w:rPr>
          <w:rFonts w:asciiTheme="majorHAnsi" w:hAnsiTheme="majorHAnsi"/>
          <w:sz w:val="18"/>
          <w:szCs w:val="18"/>
        </w:rPr>
        <w:t>Rapport de mission sur Mayotte et La Réunion, 2017 http://</w:t>
      </w:r>
      <w:r w:rsidR="00BC6FFF" w:rsidRPr="00533142">
        <w:rPr>
          <w:rFonts w:asciiTheme="majorHAnsi" w:hAnsiTheme="majorHAnsi"/>
          <w:sz w:val="18"/>
          <w:szCs w:val="18"/>
        </w:rPr>
        <w:t>www.anafe.org/s</w:t>
      </w:r>
      <w:r w:rsidRPr="00533142">
        <w:rPr>
          <w:rFonts w:asciiTheme="majorHAnsi" w:hAnsiTheme="majorHAnsi"/>
          <w:sz w:val="18"/>
          <w:szCs w:val="18"/>
        </w:rPr>
        <w:t>pip.php?article 409</w:t>
      </w:r>
    </w:p>
    <w:p w:rsidR="00FF0EBD" w:rsidRPr="00533142" w:rsidRDefault="00FF0EBD" w:rsidP="0008593B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533142">
        <w:rPr>
          <w:rFonts w:asciiTheme="majorHAnsi" w:hAnsiTheme="majorHAnsi"/>
          <w:sz w:val="18"/>
          <w:szCs w:val="18"/>
        </w:rPr>
        <w:t xml:space="preserve">Communiqué Anafé-Gisti-MoM sur les conditions d’enfermement dans une zone d’attente temporaire en Guadeloupe (mars 2018) </w:t>
      </w:r>
      <w:hyperlink r:id="rId6" w:history="1">
        <w:r w:rsidR="00C70FC4" w:rsidRPr="00533142">
          <w:rPr>
            <w:rStyle w:val="Lienhypertexte"/>
            <w:rFonts w:asciiTheme="majorHAnsi" w:hAnsiTheme="majorHAnsi"/>
            <w:color w:val="auto"/>
            <w:sz w:val="18"/>
            <w:szCs w:val="18"/>
          </w:rPr>
          <w:t>http://www.anafe.org/spip.php?article</w:t>
        </w:r>
      </w:hyperlink>
      <w:r w:rsidRPr="00533142">
        <w:rPr>
          <w:rFonts w:asciiTheme="majorHAnsi" w:hAnsiTheme="majorHAnsi"/>
          <w:sz w:val="18"/>
          <w:szCs w:val="18"/>
        </w:rPr>
        <w:t xml:space="preserve"> 464</w:t>
      </w:r>
    </w:p>
    <w:p w:rsidR="00712559" w:rsidRPr="00533142" w:rsidRDefault="0010211F" w:rsidP="0008593B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18"/>
          <w:szCs w:val="18"/>
        </w:rPr>
      </w:pPr>
      <w:r w:rsidRPr="00533142">
        <w:rPr>
          <w:rFonts w:asciiTheme="majorHAnsi" w:hAnsiTheme="majorHAnsi"/>
          <w:sz w:val="18"/>
          <w:szCs w:val="18"/>
        </w:rPr>
        <w:t xml:space="preserve">Communiqué de la Cimade après la création d'une zone d'attente temporaire à la Réunion : </w:t>
      </w:r>
      <w:hyperlink r:id="rId7" w:tgtFrame="_blank" w:history="1">
        <w:r w:rsidRPr="00533142">
          <w:rPr>
            <w:rStyle w:val="Lienhypertexte"/>
            <w:rFonts w:asciiTheme="majorHAnsi" w:hAnsiTheme="majorHAnsi"/>
            <w:color w:val="auto"/>
            <w:sz w:val="18"/>
            <w:szCs w:val="18"/>
          </w:rPr>
          <w:t>https://www.lacimade.org/demande-dasile-a-la-frontiere-letat-hors-la-loi-a-la-reunion/</w:t>
        </w:r>
      </w:hyperlink>
    </w:p>
    <w:p w:rsidR="00E542EC" w:rsidRPr="00533142" w:rsidRDefault="00DD1A61" w:rsidP="0008593B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18"/>
          <w:szCs w:val="18"/>
        </w:rPr>
      </w:pPr>
      <w:r w:rsidRPr="00533142">
        <w:rPr>
          <w:rFonts w:asciiTheme="majorHAnsi" w:hAnsiTheme="majorHAnsi"/>
          <w:b/>
          <w:sz w:val="18"/>
          <w:szCs w:val="18"/>
        </w:rPr>
        <w:t>A propos de la détention</w:t>
      </w:r>
      <w:r w:rsidRPr="00533142">
        <w:rPr>
          <w:rFonts w:asciiTheme="majorHAnsi" w:hAnsiTheme="majorHAnsi"/>
          <w:sz w:val="18"/>
          <w:szCs w:val="18"/>
        </w:rPr>
        <w:t xml:space="preserve"> : </w:t>
      </w:r>
      <w:r w:rsidR="009C590D" w:rsidRPr="00533142">
        <w:rPr>
          <w:rFonts w:asciiTheme="majorHAnsi" w:hAnsiTheme="majorHAnsi"/>
          <w:sz w:val="18"/>
          <w:szCs w:val="18"/>
        </w:rPr>
        <w:t>publications et communiqués de l’O</w:t>
      </w:r>
      <w:r w:rsidR="003F783C" w:rsidRPr="00533142">
        <w:rPr>
          <w:rFonts w:asciiTheme="majorHAnsi" w:hAnsiTheme="majorHAnsi"/>
          <w:sz w:val="18"/>
          <w:szCs w:val="18"/>
        </w:rPr>
        <w:t xml:space="preserve">bservatoire International de Prisons </w:t>
      </w:r>
    </w:p>
    <w:p w:rsidR="00E542EC" w:rsidRPr="00533142" w:rsidRDefault="00246570" w:rsidP="0008593B">
      <w:pPr>
        <w:spacing w:after="0" w:line="240" w:lineRule="auto"/>
        <w:jc w:val="both"/>
        <w:outlineLvl w:val="0"/>
        <w:rPr>
          <w:rFonts w:asciiTheme="majorHAnsi" w:eastAsia="Times New Roman" w:hAnsiTheme="majorHAnsi" w:cs="Times New Roman"/>
          <w:bCs/>
          <w:kern w:val="36"/>
          <w:sz w:val="18"/>
          <w:szCs w:val="18"/>
          <w:lang w:eastAsia="fr-FR"/>
        </w:rPr>
      </w:pPr>
      <w:r w:rsidRPr="00533142">
        <w:rPr>
          <w:rFonts w:asciiTheme="majorHAnsi" w:eastAsia="Times New Roman" w:hAnsiTheme="majorHAnsi" w:cs="Times New Roman"/>
          <w:bCs/>
          <w:kern w:val="36"/>
          <w:sz w:val="18"/>
          <w:szCs w:val="18"/>
          <w:lang w:eastAsia="fr-FR"/>
        </w:rPr>
        <w:t>L</w:t>
      </w:r>
      <w:r w:rsidR="00E542EC" w:rsidRPr="00533142">
        <w:rPr>
          <w:rFonts w:asciiTheme="majorHAnsi" w:eastAsia="Times New Roman" w:hAnsiTheme="majorHAnsi" w:cs="Times New Roman"/>
          <w:bCs/>
          <w:kern w:val="36"/>
          <w:sz w:val="18"/>
          <w:szCs w:val="18"/>
          <w:lang w:eastAsia="fr-FR"/>
        </w:rPr>
        <w:t xml:space="preserve">’enfance en danger à Mayotte par François Bès de l’OIP in </w:t>
      </w:r>
      <w:r w:rsidR="00E542EC" w:rsidRPr="00533142">
        <w:rPr>
          <w:rFonts w:asciiTheme="majorHAnsi" w:eastAsia="Times New Roman" w:hAnsiTheme="majorHAnsi" w:cs="Times New Roman"/>
          <w:bCs/>
          <w:sz w:val="18"/>
          <w:szCs w:val="18"/>
          <w:lang w:eastAsia="fr-FR"/>
        </w:rPr>
        <w:t>DEDANS DEHORS n°105 - octobre 2019</w:t>
      </w:r>
      <w:r w:rsidR="009C590D" w:rsidRPr="00533142">
        <w:rPr>
          <w:rFonts w:asciiTheme="majorHAnsi" w:eastAsia="Times New Roman" w:hAnsiTheme="majorHAnsi" w:cs="Times New Roman"/>
          <w:bCs/>
          <w:sz w:val="18"/>
          <w:szCs w:val="18"/>
          <w:lang w:eastAsia="fr-FR"/>
        </w:rPr>
        <w:t xml:space="preserve"> et auss</w:t>
      </w:r>
      <w:r w:rsidR="00090A64" w:rsidRPr="00533142">
        <w:rPr>
          <w:rFonts w:asciiTheme="majorHAnsi" w:eastAsia="Times New Roman" w:hAnsiTheme="majorHAnsi" w:cs="Times New Roman"/>
          <w:bCs/>
          <w:sz w:val="18"/>
          <w:szCs w:val="18"/>
          <w:lang w:eastAsia="fr-FR"/>
        </w:rPr>
        <w:t>i</w:t>
      </w:r>
    </w:p>
    <w:p w:rsidR="00E542EC" w:rsidRPr="009E731C" w:rsidRDefault="00CA16F5" w:rsidP="0008593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hyperlink r:id="rId8" w:tgtFrame="_blank" w:history="1">
        <w:r w:rsidR="009C590D" w:rsidRPr="00533142">
          <w:rPr>
            <w:rStyle w:val="Lienhypertexte"/>
            <w:rFonts w:asciiTheme="majorHAnsi" w:hAnsiTheme="majorHAnsi"/>
            <w:color w:val="auto"/>
            <w:sz w:val="20"/>
            <w:szCs w:val="20"/>
          </w:rPr>
          <w:t>https://www.cglpl.fr/2019/recommandations-en-urgence-relatives-au-centre-penitentiaire-de-remire-montjoly-guyane/</w:t>
        </w:r>
      </w:hyperlink>
    </w:p>
    <w:sectPr w:rsidR="00E542EC" w:rsidRPr="009E731C" w:rsidSect="00812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56D2"/>
    <w:multiLevelType w:val="hybridMultilevel"/>
    <w:tmpl w:val="54245720"/>
    <w:lvl w:ilvl="0" w:tplc="13B4506A">
      <w:start w:val="13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80E2B"/>
    <w:multiLevelType w:val="hybridMultilevel"/>
    <w:tmpl w:val="73AC1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809D3"/>
    <w:rsid w:val="00025F1E"/>
    <w:rsid w:val="000710C7"/>
    <w:rsid w:val="0008593B"/>
    <w:rsid w:val="00090A64"/>
    <w:rsid w:val="000E4A09"/>
    <w:rsid w:val="0010211F"/>
    <w:rsid w:val="00114736"/>
    <w:rsid w:val="001730B2"/>
    <w:rsid w:val="001C49CE"/>
    <w:rsid w:val="001E2E86"/>
    <w:rsid w:val="002464CF"/>
    <w:rsid w:val="00246570"/>
    <w:rsid w:val="002846F5"/>
    <w:rsid w:val="002B14D6"/>
    <w:rsid w:val="002F73E4"/>
    <w:rsid w:val="00340607"/>
    <w:rsid w:val="00357B73"/>
    <w:rsid w:val="003B0819"/>
    <w:rsid w:val="003F783C"/>
    <w:rsid w:val="004C2F1A"/>
    <w:rsid w:val="00533142"/>
    <w:rsid w:val="0054479D"/>
    <w:rsid w:val="0056712E"/>
    <w:rsid w:val="00590DFC"/>
    <w:rsid w:val="005936B4"/>
    <w:rsid w:val="005B6380"/>
    <w:rsid w:val="005D404C"/>
    <w:rsid w:val="006809D3"/>
    <w:rsid w:val="006D1FD0"/>
    <w:rsid w:val="00712559"/>
    <w:rsid w:val="00894321"/>
    <w:rsid w:val="008F63F1"/>
    <w:rsid w:val="00951724"/>
    <w:rsid w:val="00994AAB"/>
    <w:rsid w:val="009A2AF0"/>
    <w:rsid w:val="009C590D"/>
    <w:rsid w:val="009E731C"/>
    <w:rsid w:val="00A164F6"/>
    <w:rsid w:val="00A54528"/>
    <w:rsid w:val="00AB2AB9"/>
    <w:rsid w:val="00AB42A7"/>
    <w:rsid w:val="00B71060"/>
    <w:rsid w:val="00B76A07"/>
    <w:rsid w:val="00B952C8"/>
    <w:rsid w:val="00BC6FFF"/>
    <w:rsid w:val="00BF6CB0"/>
    <w:rsid w:val="00C65DE0"/>
    <w:rsid w:val="00C70FC4"/>
    <w:rsid w:val="00CA16F5"/>
    <w:rsid w:val="00D1443B"/>
    <w:rsid w:val="00DD1A61"/>
    <w:rsid w:val="00E2331E"/>
    <w:rsid w:val="00E26FC9"/>
    <w:rsid w:val="00E3221A"/>
    <w:rsid w:val="00E542EC"/>
    <w:rsid w:val="00EC7E6D"/>
    <w:rsid w:val="00F150EC"/>
    <w:rsid w:val="00F339BB"/>
    <w:rsid w:val="00F33D37"/>
    <w:rsid w:val="00FF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D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E54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09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09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9D3"/>
    <w:rPr>
      <w:rFonts w:ascii="Lucida Grande" w:eastAsiaTheme="minorHAnsi" w:hAnsi="Lucida Grande" w:cs="Lucida Grande"/>
      <w:sz w:val="18"/>
      <w:szCs w:val="18"/>
      <w:lang w:eastAsia="en-US"/>
    </w:rPr>
  </w:style>
  <w:style w:type="character" w:styleId="Lienhypertexte">
    <w:name w:val="Hyperlink"/>
    <w:basedOn w:val="Policepardfaut"/>
    <w:uiPriority w:val="99"/>
    <w:unhideWhenUsed/>
    <w:rsid w:val="00FF0EB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542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lev">
    <w:name w:val="Strong"/>
    <w:basedOn w:val="Policepardfaut"/>
    <w:uiPriority w:val="22"/>
    <w:qFormat/>
    <w:rsid w:val="00E542E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D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09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09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9D3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glpl.fr/2019/recommandations-en-urgence-relatives-au-centre-penitentiaire-de-remire-montjoly-guya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cimade.org/demande-dasile-a-la-frontiere-letat-hors-la-loi-a-la-reun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fe.org/spip.php?article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andrée</cp:lastModifiedBy>
  <cp:revision>2</cp:revision>
  <cp:lastPrinted>2019-11-12T17:31:00Z</cp:lastPrinted>
  <dcterms:created xsi:type="dcterms:W3CDTF">2019-11-13T11:49:00Z</dcterms:created>
  <dcterms:modified xsi:type="dcterms:W3CDTF">2019-11-13T11:49:00Z</dcterms:modified>
</cp:coreProperties>
</file>